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80" w:lineRule="exact"/>
        <w:jc w:val="right"/>
        <w:rPr>
          <w:rFonts w:hint="eastAsia" w:eastAsia="仿宋_GB2312"/>
          <w:sz w:val="30"/>
          <w:szCs w:val="30"/>
        </w:rPr>
      </w:pPr>
      <w:r>
        <w:rPr>
          <w:rFonts w:hint="eastAsia" w:eastAsia="仿宋_GB2312"/>
          <w:sz w:val="30"/>
          <w:szCs w:val="30"/>
        </w:rPr>
        <w:t xml:space="preserve">                                            </w:t>
      </w:r>
    </w:p>
    <w:p>
      <w:pPr>
        <w:keepNext w:val="0"/>
        <w:keepLines w:val="0"/>
        <w:pageBreakBefore w:val="0"/>
        <w:kinsoku/>
        <w:wordWrap/>
        <w:overflowPunct/>
        <w:topLinePunct w:val="0"/>
        <w:autoSpaceDE/>
        <w:autoSpaceDN/>
        <w:bidi w:val="0"/>
        <w:adjustRightInd/>
        <w:snapToGrid/>
        <w:spacing w:line="580" w:lineRule="exact"/>
        <w:jc w:val="right"/>
        <w:textAlignment w:val="auto"/>
        <w:rPr>
          <w:rFonts w:hint="eastAsia" w:ascii="宋体" w:hAnsi="宋体" w:cs="宋体"/>
          <w:bCs/>
          <w:sz w:val="44"/>
          <w:szCs w:val="44"/>
        </w:rPr>
      </w:pPr>
      <w:r>
        <w:rPr>
          <w:rFonts w:eastAsia="仿宋_GB2312"/>
          <w:sz w:val="32"/>
          <w:szCs w:val="32"/>
        </w:rPr>
        <w:t>德环</w:t>
      </w:r>
      <w:r>
        <w:rPr>
          <w:rFonts w:hint="eastAsia" w:eastAsia="仿宋_GB2312"/>
          <w:sz w:val="32"/>
          <w:szCs w:val="32"/>
        </w:rPr>
        <w:t>审批</w:t>
      </w:r>
      <w:r>
        <w:rPr>
          <w:rFonts w:eastAsia="仿宋_GB2312"/>
          <w:sz w:val="32"/>
          <w:szCs w:val="32"/>
        </w:rPr>
        <w:t>〔20</w:t>
      </w:r>
      <w:r>
        <w:rPr>
          <w:rFonts w:hint="eastAsia" w:eastAsia="仿宋_GB2312"/>
          <w:sz w:val="32"/>
          <w:szCs w:val="32"/>
        </w:rPr>
        <w:t>21</w:t>
      </w:r>
      <w:r>
        <w:rPr>
          <w:rFonts w:eastAsia="仿宋_GB2312"/>
          <w:sz w:val="32"/>
          <w:szCs w:val="32"/>
        </w:rPr>
        <w:t>〕</w:t>
      </w:r>
      <w:r>
        <w:rPr>
          <w:rFonts w:hint="eastAsia" w:eastAsia="仿宋_GB2312"/>
          <w:sz w:val="32"/>
          <w:szCs w:val="32"/>
          <w:lang w:val="en-US" w:eastAsia="zh-CN"/>
        </w:rPr>
        <w:t>474</w:t>
      </w:r>
      <w:bookmarkStart w:id="0" w:name="_GoBack"/>
      <w:bookmarkEnd w:id="0"/>
      <w:r>
        <w:rPr>
          <w:rFonts w:eastAsia="仿宋_GB2312"/>
          <w:sz w:val="32"/>
          <w:szCs w:val="32"/>
        </w:rPr>
        <w:t>号</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宋体" w:eastAsia="方正小标宋简体"/>
          <w:sz w:val="44"/>
          <w:szCs w:val="44"/>
        </w:rPr>
      </w:pPr>
      <w:r>
        <w:rPr>
          <w:rFonts w:hint="eastAsia" w:ascii="方正小标宋简体" w:hAnsi="宋体" w:eastAsia="方正小标宋简体"/>
          <w:sz w:val="44"/>
          <w:szCs w:val="44"/>
        </w:rPr>
        <w:t>德阳市生态环境局</w:t>
      </w:r>
    </w:p>
    <w:p>
      <w:pPr>
        <w:keepNext w:val="0"/>
        <w:keepLines w:val="0"/>
        <w:pageBreakBefore w:val="0"/>
        <w:kinsoku/>
        <w:wordWrap/>
        <w:overflowPunct/>
        <w:topLinePunct w:val="0"/>
        <w:autoSpaceDE/>
        <w:autoSpaceDN/>
        <w:bidi w:val="0"/>
        <w:adjustRightInd/>
        <w:snapToGrid/>
        <w:spacing w:line="580" w:lineRule="exact"/>
        <w:ind w:firstLine="88" w:firstLineChars="20"/>
        <w:jc w:val="center"/>
        <w:textAlignment w:val="auto"/>
        <w:outlineLvl w:val="0"/>
        <w:rPr>
          <w:rFonts w:hint="eastAsia" w:ascii="方正小标宋简体" w:eastAsia="方正小标宋简体"/>
          <w:sz w:val="44"/>
          <w:szCs w:val="44"/>
          <w:lang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什邡市恒升实业有限公司人民渠永兴站金相寺电站前进渠河道清淤工程</w:t>
      </w:r>
    </w:p>
    <w:p>
      <w:pPr>
        <w:keepNext w:val="0"/>
        <w:keepLines w:val="0"/>
        <w:pageBreakBefore w:val="0"/>
        <w:kinsoku/>
        <w:wordWrap/>
        <w:overflowPunct/>
        <w:topLinePunct w:val="0"/>
        <w:autoSpaceDE/>
        <w:autoSpaceDN/>
        <w:bidi w:val="0"/>
        <w:adjustRightInd/>
        <w:snapToGrid/>
        <w:spacing w:line="580" w:lineRule="exact"/>
        <w:ind w:firstLine="88" w:firstLineChars="20"/>
        <w:jc w:val="center"/>
        <w:textAlignment w:val="auto"/>
        <w:outlineLvl w:val="0"/>
        <w:rPr>
          <w:rFonts w:hint="eastAsia" w:ascii="方正小标宋简体" w:eastAsia="方正小标宋简体"/>
          <w:sz w:val="44"/>
          <w:szCs w:val="44"/>
        </w:rPr>
      </w:pPr>
      <w:r>
        <w:rPr>
          <w:rFonts w:hint="eastAsia" w:ascii="方正小标宋简体" w:eastAsia="方正小标宋简体"/>
          <w:sz w:val="44"/>
          <w:szCs w:val="44"/>
        </w:rPr>
        <w:t>《环境影响报告表》的批复</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24"/>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r>
        <w:rPr>
          <w:rFonts w:hint="eastAsia" w:ascii="仿宋_GB2312" w:eastAsia="仿宋_GB2312"/>
          <w:sz w:val="32"/>
          <w:szCs w:val="32"/>
          <w:lang w:eastAsia="zh-CN"/>
        </w:rPr>
        <w:t>什邡市恒升实业有限公司</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你单位报送的</w:t>
      </w:r>
      <w:r>
        <w:rPr>
          <w:rFonts w:hint="eastAsia" w:ascii="仿宋_GB2312" w:eastAsia="仿宋_GB2312"/>
          <w:sz w:val="32"/>
          <w:szCs w:val="32"/>
          <w:lang w:eastAsia="zh-CN"/>
        </w:rPr>
        <w:t>人民渠永兴站金相寺电站前进渠河道清淤工程</w:t>
      </w:r>
      <w:r>
        <w:rPr>
          <w:rFonts w:hint="eastAsia" w:ascii="仿宋_GB2312" w:eastAsia="仿宋_GB2312"/>
          <w:sz w:val="32"/>
          <w:szCs w:val="32"/>
        </w:rPr>
        <w:t>《环境影响报告表》收悉。经研究，批复如下：</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 xml:space="preserve"> 一、该项目为</w:t>
      </w:r>
      <w:r>
        <w:rPr>
          <w:rFonts w:hint="eastAsia" w:ascii="仿宋_GB2312" w:eastAsia="仿宋_GB2312"/>
          <w:sz w:val="32"/>
          <w:szCs w:val="32"/>
          <w:lang w:val="en-US" w:eastAsia="zh-CN"/>
        </w:rPr>
        <w:t>新建</w:t>
      </w:r>
      <w:r>
        <w:rPr>
          <w:rFonts w:hint="eastAsia" w:ascii="仿宋_GB2312" w:eastAsia="仿宋_GB2312"/>
          <w:sz w:val="32"/>
          <w:szCs w:val="32"/>
        </w:rPr>
        <w:t>项目，位于什邡市</w:t>
      </w:r>
      <w:r>
        <w:rPr>
          <w:rFonts w:hint="eastAsia" w:ascii="仿宋_GB2312" w:eastAsia="仿宋_GB2312"/>
          <w:sz w:val="32"/>
          <w:szCs w:val="32"/>
          <w:lang w:val="en-US" w:eastAsia="zh-CN"/>
        </w:rPr>
        <w:t>洛水镇</w:t>
      </w:r>
      <w:r>
        <w:rPr>
          <w:rFonts w:hint="eastAsia" w:ascii="仿宋_GB2312" w:eastAsia="仿宋_GB2312"/>
          <w:sz w:val="32"/>
          <w:szCs w:val="32"/>
        </w:rPr>
        <w:t>，</w:t>
      </w:r>
      <w:r>
        <w:rPr>
          <w:rFonts w:hint="eastAsia" w:ascii="仿宋_GB2312" w:eastAsia="仿宋_GB2312"/>
          <w:sz w:val="32"/>
          <w:szCs w:val="32"/>
          <w:lang w:val="en-US" w:eastAsia="zh-CN"/>
        </w:rPr>
        <w:t>用地</w:t>
      </w:r>
      <w:r>
        <w:rPr>
          <w:rFonts w:hint="eastAsia" w:ascii="仿宋_GB2312" w:eastAsia="仿宋_GB2312"/>
          <w:sz w:val="32"/>
          <w:szCs w:val="32"/>
        </w:rPr>
        <w:t>面积</w:t>
      </w:r>
      <w:r>
        <w:rPr>
          <w:rFonts w:hint="eastAsia" w:ascii="仿宋_GB2312" w:eastAsia="仿宋_GB2312"/>
          <w:sz w:val="32"/>
          <w:szCs w:val="32"/>
          <w:lang w:val="en-US" w:eastAsia="zh-CN"/>
        </w:rPr>
        <w:t>5564</w:t>
      </w:r>
      <w:r>
        <w:rPr>
          <w:rFonts w:hint="eastAsia" w:ascii="仿宋_GB2312" w:eastAsia="仿宋_GB2312"/>
          <w:sz w:val="32"/>
          <w:szCs w:val="32"/>
        </w:rPr>
        <w:t>㎡。项目</w:t>
      </w:r>
      <w:r>
        <w:rPr>
          <w:rFonts w:hint="eastAsia" w:ascii="仿宋_GB2312" w:eastAsia="仿宋_GB2312"/>
          <w:sz w:val="32"/>
          <w:szCs w:val="32"/>
          <w:lang w:val="en-US" w:eastAsia="zh-CN"/>
        </w:rPr>
        <w:t>利用抽沙设备以及相应的清掏设施设备对人民渠永兴站金相寺电站前进渠内水中淤积物进行清掏，并对清掏物进行临时堆放及异地转移。</w:t>
      </w:r>
      <w:r>
        <w:rPr>
          <w:rFonts w:hint="eastAsia" w:ascii="仿宋_GB2312" w:eastAsia="仿宋_GB2312"/>
          <w:sz w:val="32"/>
          <w:szCs w:val="32"/>
        </w:rPr>
        <w:t>项目总投资</w:t>
      </w:r>
      <w:r>
        <w:rPr>
          <w:rFonts w:hint="eastAsia" w:ascii="仿宋_GB2312" w:eastAsia="仿宋_GB2312"/>
          <w:sz w:val="32"/>
          <w:szCs w:val="32"/>
          <w:lang w:val="en-US" w:eastAsia="zh-CN"/>
        </w:rPr>
        <w:t>50</w:t>
      </w:r>
      <w:r>
        <w:rPr>
          <w:rFonts w:hint="eastAsia" w:ascii="仿宋_GB2312" w:eastAsia="仿宋_GB2312"/>
          <w:sz w:val="32"/>
          <w:szCs w:val="32"/>
        </w:rPr>
        <w:t>万元，其中环保投资估算</w:t>
      </w:r>
      <w:r>
        <w:rPr>
          <w:rFonts w:hint="eastAsia" w:ascii="仿宋_GB2312" w:eastAsia="仿宋_GB2312"/>
          <w:sz w:val="32"/>
          <w:szCs w:val="32"/>
          <w:lang w:val="en-US" w:eastAsia="zh-CN"/>
        </w:rPr>
        <w:t>7.2</w:t>
      </w:r>
      <w:r>
        <w:rPr>
          <w:rFonts w:hint="eastAsia" w:ascii="仿宋_GB2312" w:eastAsia="仿宋_GB2312"/>
          <w:sz w:val="32"/>
          <w:szCs w:val="32"/>
        </w:rPr>
        <w:t>万元。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华文中宋" w:eastAsia="仿宋_GB2312" w:cs="宋体"/>
          <w:kern w:val="0"/>
          <w:sz w:val="32"/>
          <w:szCs w:val="32"/>
        </w:rPr>
      </w:pPr>
      <w:r>
        <w:rPr>
          <w:rFonts w:hint="eastAsia" w:ascii="仿宋_GB2312" w:eastAsia="仿宋_GB2312"/>
          <w:sz w:val="32"/>
          <w:szCs w:val="32"/>
        </w:rPr>
        <w:t>项目属于《产业结构调整指导目录（2019年本）》中</w:t>
      </w:r>
      <w:r>
        <w:rPr>
          <w:rFonts w:hint="eastAsia" w:ascii="仿宋_GB2312" w:eastAsia="仿宋_GB2312"/>
          <w:sz w:val="32"/>
          <w:szCs w:val="32"/>
          <w:lang w:val="en-US" w:eastAsia="zh-CN"/>
        </w:rPr>
        <w:t>鼓励</w:t>
      </w:r>
      <w:r>
        <w:rPr>
          <w:rFonts w:hint="eastAsia" w:ascii="仿宋_GB2312" w:eastAsia="仿宋_GB2312"/>
          <w:sz w:val="32"/>
          <w:szCs w:val="32"/>
        </w:rPr>
        <w:t>类项目，经什邡市</w:t>
      </w:r>
      <w:r>
        <w:rPr>
          <w:rFonts w:hint="eastAsia" w:ascii="仿宋_GB2312" w:eastAsia="仿宋_GB2312"/>
          <w:sz w:val="32"/>
          <w:szCs w:val="32"/>
          <w:lang w:val="en-US" w:eastAsia="zh-CN"/>
        </w:rPr>
        <w:t>发展改革和科技局</w:t>
      </w:r>
      <w:r>
        <w:rPr>
          <w:rFonts w:hint="eastAsia" w:ascii="仿宋_GB2312" w:eastAsia="仿宋_GB2312"/>
          <w:sz w:val="32"/>
          <w:szCs w:val="32"/>
        </w:rPr>
        <w:t>备案（川投资备</w:t>
      </w:r>
      <w:r>
        <w:rPr>
          <w:rFonts w:hint="eastAsia" w:ascii="仿宋_GB2312" w:eastAsia="仿宋_GB2312"/>
          <w:sz w:val="32"/>
          <w:szCs w:val="32"/>
          <w:lang w:val="en-US" w:eastAsia="zh-CN"/>
        </w:rPr>
        <w:t>[</w:t>
      </w:r>
      <w:r>
        <w:rPr>
          <w:rFonts w:hint="eastAsia" w:ascii="仿宋_GB2312" w:eastAsia="仿宋_GB2312"/>
          <w:sz w:val="32"/>
          <w:szCs w:val="32"/>
        </w:rPr>
        <w:t>2</w:t>
      </w:r>
      <w:r>
        <w:rPr>
          <w:rFonts w:hint="eastAsia" w:ascii="仿宋_GB2312" w:eastAsia="仿宋_GB2312"/>
          <w:sz w:val="32"/>
          <w:szCs w:val="32"/>
          <w:lang w:val="en-US" w:eastAsia="zh-CN"/>
        </w:rPr>
        <w:t>020</w:t>
      </w:r>
      <w:r>
        <w:rPr>
          <w:rFonts w:hint="eastAsia" w:ascii="仿宋_GB2312" w:eastAsia="仿宋_GB2312"/>
          <w:sz w:val="32"/>
          <w:szCs w:val="32"/>
        </w:rPr>
        <w:t>-510682-</w:t>
      </w:r>
      <w:r>
        <w:rPr>
          <w:rFonts w:hint="eastAsia" w:ascii="仿宋_GB2312" w:eastAsia="仿宋_GB2312"/>
          <w:sz w:val="32"/>
          <w:szCs w:val="32"/>
          <w:lang w:val="en-US" w:eastAsia="zh-CN"/>
        </w:rPr>
        <w:t>77</w:t>
      </w:r>
      <w:r>
        <w:rPr>
          <w:rFonts w:hint="eastAsia" w:ascii="仿宋_GB2312" w:eastAsia="仿宋_GB2312"/>
          <w:sz w:val="32"/>
          <w:szCs w:val="32"/>
        </w:rPr>
        <w:t>-0</w:t>
      </w: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477825]FG</w:t>
      </w:r>
      <w:r>
        <w:rPr>
          <w:rFonts w:hint="eastAsia" w:ascii="仿宋_GB2312" w:eastAsia="仿宋_GB2312"/>
          <w:sz w:val="32"/>
          <w:szCs w:val="32"/>
        </w:rPr>
        <w:t>QB-0</w:t>
      </w:r>
      <w:r>
        <w:rPr>
          <w:rFonts w:hint="eastAsia" w:ascii="仿宋_GB2312" w:eastAsia="仿宋_GB2312"/>
          <w:sz w:val="32"/>
          <w:szCs w:val="32"/>
          <w:lang w:val="en-US" w:eastAsia="zh-CN"/>
        </w:rPr>
        <w:t>284</w:t>
      </w:r>
      <w:r>
        <w:rPr>
          <w:rFonts w:hint="eastAsia" w:ascii="仿宋_GB2312" w:eastAsia="仿宋_GB2312"/>
          <w:sz w:val="32"/>
          <w:szCs w:val="32"/>
        </w:rPr>
        <w:t>号），符合现行国家产业政策。</w:t>
      </w:r>
      <w:r>
        <w:rPr>
          <w:rFonts w:hint="eastAsia" w:ascii="仿宋_GB2312" w:hAnsi="华文中宋" w:eastAsia="仿宋_GB2312" w:cs="宋体"/>
          <w:kern w:val="0"/>
          <w:sz w:val="32"/>
          <w:szCs w:val="32"/>
        </w:rPr>
        <w:t>根据专家对《报告表》的审查意见和《报告表》的评价结论，</w:t>
      </w:r>
      <w:r>
        <w:rPr>
          <w:rFonts w:hint="eastAsia" w:ascii="仿宋_GB2312" w:eastAsia="仿宋_GB2312"/>
          <w:sz w:val="32"/>
          <w:szCs w:val="32"/>
        </w:rPr>
        <w:t>在落实报告表中提出的各项环保对策措施和环境风险防范措施后，项目实施不存在明显的环境制约因素，污染物可以达标排放并符合总量控制要求，</w:t>
      </w:r>
      <w:r>
        <w:rPr>
          <w:rFonts w:hint="eastAsia" w:ascii="仿宋_GB2312" w:hAnsi="华文中宋" w:eastAsia="仿宋_GB2312" w:cs="宋体"/>
          <w:kern w:val="0"/>
          <w:sz w:val="32"/>
          <w:szCs w:val="32"/>
        </w:rPr>
        <w:t>我局同意该项目</w:t>
      </w:r>
      <w:r>
        <w:rPr>
          <w:rFonts w:hint="eastAsia" w:ascii="仿宋_GB2312" w:eastAsia="仿宋_GB2312"/>
          <w:sz w:val="32"/>
          <w:szCs w:val="32"/>
        </w:rPr>
        <w:t>按报告表中所列建设性质、地点、内容、规模、生产工艺及环保对策措施和风险防范措施</w:t>
      </w:r>
      <w:r>
        <w:rPr>
          <w:rFonts w:hint="eastAsia" w:ascii="仿宋_GB2312" w:hAnsi="华文中宋" w:eastAsia="仿宋_GB2312" w:cs="宋体"/>
          <w:kern w:val="0"/>
          <w:sz w:val="32"/>
          <w:szCs w:val="32"/>
        </w:rPr>
        <w:t>进行建设。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二、项目建设应重点做好以下工作：  </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（一）</w:t>
      </w:r>
      <w:r>
        <w:rPr>
          <w:rFonts w:hint="eastAsia" w:ascii="仿宋_GB2312" w:eastAsia="仿宋_GB2312"/>
          <w:sz w:val="32"/>
          <w:szCs w:val="32"/>
          <w:lang w:val="en-US" w:eastAsia="zh-CN"/>
        </w:rPr>
        <w:t>本次施工内容只涉及河道清淤，不包括堤防建设及两岸的绿化工程，清淤河段无通航功能，不涉及船舶码头。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（二）严格贯彻执行“预防为主、保护优先”的原则，落实项目环保资金，落实单位内部的环境管理部门、人员和管理制度。与项目同步开展环保相关设施的建设。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（三）严格按照报告表的要求，落实各项废水处理设施建设。施工期产生的施工废水经沉淀后回用</w:t>
      </w:r>
      <w:r>
        <w:rPr>
          <w:rFonts w:hint="eastAsia" w:ascii="仿宋_GB2312" w:eastAsia="仿宋_GB2312"/>
          <w:sz w:val="32"/>
          <w:szCs w:val="32"/>
          <w:lang w:eastAsia="zh-CN"/>
        </w:rPr>
        <w:t>；</w:t>
      </w:r>
      <w:r>
        <w:rPr>
          <w:rFonts w:hint="eastAsia" w:ascii="仿宋_GB2312" w:eastAsia="仿宋_GB2312"/>
          <w:sz w:val="32"/>
          <w:szCs w:val="32"/>
          <w:lang w:val="en-US" w:eastAsia="zh-CN"/>
        </w:rPr>
        <w:t>租用当地民房所产生的生活污水经旱厕收集后，定期清掏用作农肥</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（四）落实各项废气处理设施，确保大气污染物稳定达标排放。</w:t>
      </w:r>
      <w:r>
        <w:rPr>
          <w:rFonts w:hint="eastAsia" w:ascii="仿宋_GB2312" w:eastAsia="仿宋_GB2312"/>
          <w:sz w:val="32"/>
          <w:szCs w:val="32"/>
          <w:lang w:val="en-US" w:eastAsia="zh-CN"/>
        </w:rPr>
        <w:t>加强施工管理，对施工区域实行封闭或隔离，在边界设置围挡；施工机械及运输车辆定期检修与保养，及时清洗；抽出砂石及时清运，运输过程中防止沿途散落。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五）落实各项噪声治理措施，确保</w:t>
      </w:r>
      <w:r>
        <w:rPr>
          <w:rFonts w:hint="eastAsia" w:ascii="仿宋_GB2312" w:eastAsia="仿宋_GB2312"/>
          <w:sz w:val="32"/>
          <w:szCs w:val="32"/>
          <w:lang w:val="en-US" w:eastAsia="zh-CN"/>
        </w:rPr>
        <w:t>场界</w:t>
      </w:r>
      <w:r>
        <w:rPr>
          <w:rFonts w:hint="eastAsia" w:ascii="仿宋_GB2312" w:eastAsia="仿宋_GB2312"/>
          <w:sz w:val="32"/>
          <w:szCs w:val="32"/>
        </w:rPr>
        <w:t>环境噪声达标并不得扰民。落实各项固体废弃物处置措施，提高回收利用率，加强各类固体废弃物暂存、转运及处置过程环境管理，防止二次污染。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六</w:t>
      </w:r>
      <w:r>
        <w:rPr>
          <w:rFonts w:hint="eastAsia" w:ascii="仿宋_GB2312" w:eastAsia="仿宋_GB2312"/>
          <w:sz w:val="32"/>
          <w:szCs w:val="32"/>
        </w:rPr>
        <w:t>）本项目在</w:t>
      </w:r>
      <w:r>
        <w:rPr>
          <w:rFonts w:hint="eastAsia" w:ascii="仿宋_GB2312" w:eastAsia="仿宋_GB2312"/>
          <w:sz w:val="32"/>
          <w:szCs w:val="32"/>
          <w:lang w:val="en-US" w:eastAsia="zh-CN"/>
        </w:rPr>
        <w:t>施工</w:t>
      </w:r>
      <w:r>
        <w:rPr>
          <w:rFonts w:hint="eastAsia" w:ascii="仿宋_GB2312" w:eastAsia="仿宋_GB2312"/>
          <w:sz w:val="32"/>
          <w:szCs w:val="32"/>
        </w:rPr>
        <w:t>过程中，</w:t>
      </w:r>
      <w:r>
        <w:rPr>
          <w:rFonts w:hint="eastAsia" w:ascii="仿宋_GB2312" w:eastAsia="仿宋_GB2312"/>
          <w:sz w:val="32"/>
          <w:szCs w:val="32"/>
          <w:lang w:val="en-US" w:eastAsia="zh-CN"/>
        </w:rPr>
        <w:t>应优化临时占地的布局和选址，尽量减少对植被占用和植被扰动的影响，优先选择已有的交通路线。</w:t>
      </w:r>
      <w:r>
        <w:rPr>
          <w:rFonts w:hint="eastAsia" w:ascii="仿宋_GB2312" w:eastAsia="仿宋_GB2312"/>
          <w:sz w:val="32"/>
          <w:szCs w:val="32"/>
        </w:rPr>
        <w:t>施工期结束后</w:t>
      </w:r>
      <w:r>
        <w:rPr>
          <w:rFonts w:hint="eastAsia" w:ascii="仿宋_GB2312" w:eastAsia="仿宋_GB2312"/>
          <w:sz w:val="32"/>
          <w:szCs w:val="32"/>
          <w:lang w:eastAsia="zh-CN"/>
        </w:rPr>
        <w:t>，</w:t>
      </w:r>
      <w:r>
        <w:rPr>
          <w:rFonts w:hint="eastAsia" w:ascii="仿宋_GB2312" w:eastAsia="仿宋_GB2312"/>
          <w:sz w:val="32"/>
          <w:szCs w:val="32"/>
          <w:lang w:val="en-US" w:eastAsia="zh-CN"/>
        </w:rPr>
        <w:t>尽快</w:t>
      </w:r>
      <w:r>
        <w:rPr>
          <w:rFonts w:hint="eastAsia" w:ascii="仿宋_GB2312" w:eastAsia="仿宋_GB2312"/>
          <w:sz w:val="32"/>
          <w:szCs w:val="32"/>
        </w:rPr>
        <w:t>进行生态恢复工作，并加强生态恢复过程中的管理和维护，保证植被恢复的成活率；植被恢复应采用当地适生物种，保证生物安全。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七</w:t>
      </w:r>
      <w:r>
        <w:rPr>
          <w:rFonts w:hint="eastAsia" w:ascii="仿宋_GB2312" w:eastAsia="仿宋_GB2312"/>
          <w:sz w:val="32"/>
          <w:szCs w:val="32"/>
          <w:lang w:eastAsia="zh-CN"/>
        </w:rPr>
        <w:t>）</w:t>
      </w:r>
      <w:r>
        <w:rPr>
          <w:rFonts w:hint="eastAsia" w:ascii="仿宋_GB2312" w:eastAsia="仿宋_GB2312"/>
          <w:sz w:val="32"/>
          <w:szCs w:val="32"/>
        </w:rPr>
        <w:t>严格按照报告表的要求，建设各项环保应急设施，确保环境安全。制定突发环境事件应急预案，加强</w:t>
      </w:r>
      <w:r>
        <w:rPr>
          <w:rFonts w:hint="eastAsia" w:ascii="仿宋_GB2312" w:eastAsia="仿宋_GB2312"/>
          <w:sz w:val="32"/>
          <w:szCs w:val="32"/>
          <w:lang w:val="en-US" w:eastAsia="zh-CN"/>
        </w:rPr>
        <w:t>施工和</w:t>
      </w:r>
      <w:r>
        <w:rPr>
          <w:rFonts w:hint="eastAsia" w:ascii="仿宋_GB2312" w:eastAsia="仿宋_GB2312"/>
          <w:sz w:val="32"/>
          <w:szCs w:val="32"/>
        </w:rPr>
        <w:t>运营过程风险防范管理，避免和控制风险事故导致的环境污染。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三、工程开工建设前，应依法完备其他行政许可手续。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四、项目竣工后，纳入排污许可证管理的行业，必须按照国家排污许可证有关管理规定要求，申领排污许可证，不得无证排污或不按证排污。按规定标准和程序，对配套建设的环境保护设施进行验收。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环境影响评价文件经批准后，如工程的性质、规模、地点或者防治污染、防止生态破坏的措施发生重大变动的，建设单位应当重新报批环境影响评价文件，否则不得实施建设。自环评批复文件批准之日起，如工程超过5年未开工建设，环境影响评价文件应当报我局重新审核。</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五、请德阳市什邡生态环境保护综合行政执法大队负责项目的环境保护监督检查工作。</w:t>
      </w:r>
    </w:p>
    <w:p>
      <w:pPr>
        <w:pStyle w:val="2"/>
        <w:keepNext w:val="0"/>
        <w:keepLines w:val="0"/>
        <w:pageBreakBefore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eastAsia="仿宋_GB2312"/>
          <w:sz w:val="32"/>
          <w:szCs w:val="32"/>
        </w:rPr>
      </w:pPr>
    </w:p>
    <w:tbl>
      <w:tblPr>
        <w:tblStyle w:val="4"/>
        <w:tblpPr w:leftFromText="180" w:rightFromText="180" w:vertAnchor="text" w:horzAnchor="page" w:tblpX="1480" w:tblpY="29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271" w:type="dxa"/>
            <w:tcBorders>
              <w:top w:val="single" w:color="auto" w:sz="4" w:space="0"/>
              <w:left w:val="nil"/>
              <w:bottom w:val="single" w:color="auto" w:sz="4" w:space="0"/>
              <w:right w:val="nil"/>
            </w:tcBorders>
            <w:noWrap w:val="0"/>
            <w:vAlign w:val="top"/>
          </w:tcPr>
          <w:p>
            <w:pPr>
              <w:spacing w:line="560" w:lineRule="exact"/>
              <w:ind w:left="840" w:hanging="840" w:hangingChars="300"/>
              <w:rPr>
                <w:rFonts w:hint="eastAsia" w:ascii="仿宋_GB2312" w:hAnsi="仿宋" w:eastAsia="仿宋_GB2312"/>
                <w:sz w:val="32"/>
                <w:szCs w:val="32"/>
              </w:rPr>
            </w:pPr>
            <w:r>
              <w:rPr>
                <w:rFonts w:hint="eastAsia" w:ascii="仿宋_GB2312" w:hAnsi="仿宋" w:eastAsia="仿宋_GB2312"/>
                <w:sz w:val="28"/>
                <w:szCs w:val="28"/>
              </w:rPr>
              <w:t>抄送：</w:t>
            </w:r>
            <w:r>
              <w:rPr>
                <w:rFonts w:hint="eastAsia" w:ascii="仿宋_GB2312" w:eastAsia="仿宋_GB2312"/>
                <w:sz w:val="28"/>
                <w:szCs w:val="28"/>
              </w:rPr>
              <w:t>德阳市什邡生态环境保护综合行政执法大队，德阳市什邡生态环境监测站。</w:t>
            </w:r>
          </w:p>
        </w:tc>
      </w:tr>
    </w:tbl>
    <w:p>
      <w:pPr>
        <w:pStyle w:val="2"/>
        <w:keepNext w:val="0"/>
        <w:keepLines w:val="0"/>
        <w:pageBreakBefore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eastAsia="仿宋_GB2312"/>
          <w:sz w:val="32"/>
          <w:szCs w:val="32"/>
        </w:rPr>
      </w:pPr>
    </w:p>
    <w:p>
      <w:pPr>
        <w:keepNext w:val="0"/>
        <w:keepLines w:val="0"/>
        <w:pageBreakBefore w:val="0"/>
        <w:tabs>
          <w:tab w:val="left" w:pos="2175"/>
        </w:tabs>
        <w:kinsoku/>
        <w:wordWrap/>
        <w:overflowPunct/>
        <w:topLinePunct w:val="0"/>
        <w:autoSpaceDE/>
        <w:autoSpaceDN/>
        <w:bidi w:val="0"/>
        <w:adjustRightInd/>
        <w:snapToGrid/>
        <w:spacing w:line="580" w:lineRule="exact"/>
        <w:ind w:right="461"/>
        <w:jc w:val="center"/>
        <w:textAlignment w:val="auto"/>
        <w:rPr>
          <w:rFonts w:hint="eastAsia" w:ascii="仿宋_GB2312" w:hAnsi="仿宋" w:eastAsia="仿宋_GB2312"/>
          <w:sz w:val="32"/>
          <w:szCs w:val="32"/>
        </w:rPr>
      </w:pPr>
      <w:r>
        <w:rPr>
          <w:rFonts w:hint="eastAsia" w:ascii="仿宋_GB2312" w:hAnsi="仿宋" w:eastAsia="仿宋_GB2312"/>
          <w:sz w:val="32"/>
          <w:szCs w:val="32"/>
        </w:rPr>
        <w:t xml:space="preserve">                             德阳市生态环境局</w:t>
      </w:r>
    </w:p>
    <w:p>
      <w:pPr>
        <w:keepNext w:val="0"/>
        <w:keepLines w:val="0"/>
        <w:pageBreakBefore w:val="0"/>
        <w:tabs>
          <w:tab w:val="left" w:pos="2175"/>
        </w:tabs>
        <w:kinsoku/>
        <w:wordWrap/>
        <w:overflowPunct/>
        <w:topLinePunct w:val="0"/>
        <w:autoSpaceDE/>
        <w:autoSpaceDN/>
        <w:bidi w:val="0"/>
        <w:adjustRightInd/>
        <w:snapToGrid/>
        <w:spacing w:line="580" w:lineRule="exact"/>
        <w:ind w:right="461"/>
        <w:jc w:val="center"/>
        <w:textAlignment w:val="auto"/>
        <w:rPr>
          <w:rFonts w:hint="eastAsia" w:ascii="仿宋_GB2312" w:eastAsia="仿宋_GB2312"/>
          <w:spacing w:val="-20"/>
          <w:sz w:val="32"/>
          <w:szCs w:val="32"/>
        </w:rPr>
      </w:pPr>
      <w:r>
        <w:rPr>
          <w:rFonts w:hint="eastAsia" w:ascii="仿宋_GB2312" w:hAnsi="仿宋" w:eastAsia="仿宋_GB2312"/>
          <w:spacing w:val="-20"/>
          <w:sz w:val="32"/>
          <w:szCs w:val="32"/>
        </w:rPr>
        <w:t xml:space="preserve">                                        2021年</w:t>
      </w:r>
      <w:r>
        <w:rPr>
          <w:rFonts w:hint="eastAsia" w:ascii="仿宋_GB2312" w:hAnsi="仿宋" w:eastAsia="仿宋_GB2312"/>
          <w:spacing w:val="-20"/>
          <w:sz w:val="32"/>
          <w:szCs w:val="32"/>
          <w:lang w:val="en-US" w:eastAsia="zh-CN"/>
        </w:rPr>
        <w:t>11</w:t>
      </w:r>
      <w:r>
        <w:rPr>
          <w:rFonts w:hint="eastAsia" w:ascii="仿宋_GB2312" w:hAnsi="仿宋" w:eastAsia="仿宋_GB2312"/>
          <w:spacing w:val="-20"/>
          <w:sz w:val="32"/>
          <w:szCs w:val="32"/>
        </w:rPr>
        <w:t>月</w:t>
      </w:r>
      <w:r>
        <w:rPr>
          <w:rFonts w:hint="eastAsia" w:ascii="仿宋_GB2312" w:hAnsi="仿宋" w:eastAsia="仿宋_GB2312"/>
          <w:spacing w:val="-20"/>
          <w:sz w:val="32"/>
          <w:szCs w:val="32"/>
          <w:lang w:val="en-US" w:eastAsia="zh-CN"/>
        </w:rPr>
        <w:t>29</w:t>
      </w:r>
      <w:r>
        <w:rPr>
          <w:rFonts w:hint="eastAsia" w:ascii="仿宋_GB2312" w:hAnsi="仿宋" w:eastAsia="仿宋_GB2312"/>
          <w:spacing w:val="-20"/>
          <w:sz w:val="32"/>
          <w:szCs w:val="32"/>
        </w:rPr>
        <w:t>日</w:t>
      </w:r>
      <w:r>
        <w:rPr>
          <w:rFonts w:hint="eastAsia" w:ascii="仿宋_GB2312" w:eastAsia="仿宋_GB2312"/>
          <w:spacing w:val="-20"/>
          <w:sz w:val="32"/>
          <w:szCs w:val="32"/>
        </w:rPr>
        <w:t xml:space="preserve"> </w:t>
      </w:r>
    </w:p>
    <w:p>
      <w:pPr>
        <w:pStyle w:val="2"/>
        <w:ind w:left="0" w:leftChars="0" w:firstLine="0" w:firstLineChars="0"/>
        <w:rPr>
          <w:rFonts w:hint="eastAsia" w:ascii="仿宋_GB2312" w:eastAsia="仿宋_GB2312"/>
          <w:spacing w:val="-20"/>
          <w:sz w:val="32"/>
          <w:szCs w:val="32"/>
        </w:rPr>
      </w:pPr>
    </w:p>
    <w:p>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6292F"/>
    <w:rsid w:val="0630345E"/>
    <w:rsid w:val="06A6292F"/>
    <w:rsid w:val="094F165D"/>
    <w:rsid w:val="0C512230"/>
    <w:rsid w:val="0EB01D8E"/>
    <w:rsid w:val="13C41E6A"/>
    <w:rsid w:val="18C7341A"/>
    <w:rsid w:val="19893693"/>
    <w:rsid w:val="1D77153D"/>
    <w:rsid w:val="1E360515"/>
    <w:rsid w:val="1EB83C00"/>
    <w:rsid w:val="247C1D69"/>
    <w:rsid w:val="2EF77644"/>
    <w:rsid w:val="3C437917"/>
    <w:rsid w:val="3FEC6A17"/>
    <w:rsid w:val="49462B1A"/>
    <w:rsid w:val="56036858"/>
    <w:rsid w:val="58533716"/>
    <w:rsid w:val="5FEC2BE5"/>
    <w:rsid w:val="67181268"/>
    <w:rsid w:val="69BC74FD"/>
    <w:rsid w:val="6AE411D2"/>
    <w:rsid w:val="7F525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2021-04-26T07:02:00Z</dcterms:created>
  <dc:creator>窀穸</dc:creator>
  <cp:lastModifiedBy>Administrator</cp:lastModifiedBy>
  <dcterms:modified xsi:type="dcterms:W3CDTF">2021-11-29T07:13:52Z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10B7200D04424A818B38836AEF7176A0</vt:lpwstr>
  </property>
</Properties>
</file>