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为准确掌握换届后村“两委”班子运行情况和履职情况，加强领导班子和干部队伍建设，</w:t>
      </w:r>
      <w:r>
        <w:rPr>
          <w:rFonts w:hint="eastAsia"/>
          <w:sz w:val="30"/>
          <w:szCs w:val="30"/>
          <w:lang w:val="en-US" w:eastAsia="zh-CN"/>
        </w:rPr>
        <w:t>2022年4月20日上午，石门村召开村换届“回头看”工作会，参会人员对班子成员开展满意度测评。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3954145"/>
            <wp:effectExtent l="0" t="0" r="4445" b="8255"/>
            <wp:docPr id="1" name="图片 1" descr="0a3195123d4bfda83fbc62e6562f0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3195123d4bfda83fbc62e6562f0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2022-04-22T01:34:50Z</dcterms:created>
  <dc:creator>Administrator</dc:creator>
  <cp:lastModifiedBy>Administrator</cp:lastModifiedBy>
  <dcterms:modified xsi:type="dcterms:W3CDTF">2022-04-22T01:40:12Z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